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Caps"/>
        <w:jc w:val="center"/>
        <w:ind w:firstLine="0"/>
      </w:pPr>
      <w:r>
        <w:t xml:space="preserve">ДОШКОЛЬНАЯ ОБРАЗОВАТЕЛЬНАЯ ОРГАНИЗАЦИЯ</w:t>
      </w:r>
    </w:p>
    <w:p>
      <w:pPr>
        <w:pStyle w:val="Caps"/>
        <w:jc w:val="center"/>
        <w:ind w:firstLine="0"/>
      </w:pPr>
      <w:r>
        <w:t xml:space="preserve">СРЕДНЯЯ ГРУППА</w:t>
      </w:r>
    </w:p>
    <w:p/>
    <w:p/>
    <w:p/>
    <w:p/>
    <w:p>
      <w:pPr>
        <w:pStyle w:val="Caps"/>
        <w:jc w:val="center"/>
        <w:ind w:firstLine="0"/>
      </w:pPr>
      <w:r>
        <w:t xml:space="preserve">КОНСПЕКТ ОБРАЗОВАТЕЛЬНОЙ ДЕЯТЕЛЬНОСТИ</w:t>
      </w:r>
    </w:p>
    <w:p>
      <w:pPr>
        <w:pStyle w:val="Title"/>
        <w:jc w:val="center"/>
        <w:ind w:firstLine="0"/>
      </w:pPr>
      <w:r>
        <w:t xml:space="preserve">КОНСПЕКТ ОБРАЗОВАТЕЛЬНОЙ ДЕЯТЕЛЬНОСТИ</w:t>
      </w:r>
    </w:p>
    <w:p>
      <w:pPr>
        <w:pStyle w:val="Subtitle"/>
        <w:jc w:val="center"/>
        <w:ind w:firstLine="0"/>
      </w:pPr>
      <w:r>
        <w:t xml:space="preserve">«Осенние листья». Средняя группа (4–5 лет). 03.10.2026. Учебный год 2026–2027.</w:t>
      </w:r>
    </w:p>
    <w:p/>
    <w:p/>
    <w:p/>
    <w:p/>
    <w:p/>
    <w:p/>
    <w:p>
      <w:pPr>
        <w:pStyle w:val="Normal"/>
        <w:jc w:val="center"/>
        <w:ind w:firstLine="0"/>
      </w:pPr>
      <w:r>
        <w:t xml:space="preserve">2026–2027 учебный год</w:t>
      </w:r>
    </w:p>
    <w:p>
      <w:pPr>
        <w:pStyle w:val="Footer"/>
        <w:jc w:val="center"/>
        <w:ind w:firstLine="0"/>
      </w:pPr>
      <w:r>
        <w:t xml:space="preserve">Подготовлено в Методичке — помощнике воспитателя в MAX</w:t>
      </w:r>
    </w:p>
    <w:p>
      <w:r>
        <w:br w:type="page"/>
      </w:r>
    </w:p>
    <w:p>
      <w:pPr>
        <w:pStyle w:val="Heading1"/>
        <w:jc w:val="left"/>
        <w:ind w:firstLine="0"/>
      </w:pPr>
      <w:r>
        <w:t xml:space="preserve">Паспорт</w:t>
      </w:r>
    </w:p>
    <w:tbl>
      <w:tblPr>
        <w:tblW w:w="5000" w:type="pct"/>
        <w:tblLayout w:type="fixed"/>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0" w:type="dxa"/>
          <w:right w:w="100" w:type="dxa"/>
        </w:tblCellMar>
      </w:tblPr>
      <w:tblGrid>
        <w:gridCol w:w="2806"/>
        <w:gridCol w:w="6549"/>
      </w:tblGrid>
      <w:tr>
        <w:tc>
          <w:tcPr/>
          <w:p>
            <w:pPr>
              <w:pStyle w:val="TableText"/>
            </w:pPr>
            <w:r>
              <w:rPr>
                <w:b/>
              </w:rPr>
              <w:t xml:space="preserve">Образовательная область</w:t>
            </w:r>
          </w:p>
        </w:tc>
        <w:tc>
          <w:tcPr/>
          <w:p>
            <w:pPr>
              <w:pStyle w:val="TableText"/>
            </w:pPr>
            <w:r>
              <w:t xml:space="preserve">Познавательное развитие</w:t>
            </w:r>
          </w:p>
        </w:tc>
      </w:tr>
      <w:tr>
        <w:tc>
          <w:tcPr/>
          <w:p>
            <w:pPr>
              <w:pStyle w:val="TableText"/>
            </w:pPr>
            <w:r>
              <w:rPr>
                <w:b/>
              </w:rPr>
              <w:t xml:space="preserve">Интеграция областей</w:t>
            </w:r>
          </w:p>
        </w:tc>
        <w:tc>
          <w:tcPr/>
          <w:p>
            <w:pPr>
              <w:pStyle w:val="TableText"/>
            </w:pPr>
            <w:r>
              <w:t xml:space="preserve">Речевое, социально-коммуникативное, художественно-эстетическое и физическое развитие</w:t>
            </w:r>
          </w:p>
        </w:tc>
      </w:tr>
      <w:tr>
        <w:tc>
          <w:tcPr/>
          <w:p>
            <w:pPr>
              <w:pStyle w:val="TableText"/>
            </w:pPr>
            <w:r>
              <w:rPr>
                <w:b/>
              </w:rPr>
              <w:t xml:space="preserve">Возраст</w:t>
            </w:r>
          </w:p>
        </w:tc>
        <w:tc>
          <w:tcPr/>
          <w:p>
            <w:pPr>
              <w:pStyle w:val="TableText"/>
            </w:pPr>
            <w:r>
              <w:t xml:space="preserve">Средняя группа, 4–5 лет</w:t>
            </w:r>
          </w:p>
        </w:tc>
      </w:tr>
      <w:tr>
        <w:tc>
          <w:tcPr/>
          <w:p>
            <w:pPr>
              <w:pStyle w:val="TableText"/>
            </w:pPr>
            <w:r>
              <w:rPr>
                <w:b/>
              </w:rPr>
              <w:t xml:space="preserve">Длительность</w:t>
            </w:r>
          </w:p>
        </w:tc>
        <w:tc>
          <w:tcPr/>
          <w:p>
            <w:pPr>
              <w:pStyle w:val="TableText"/>
            </w:pPr>
            <w:r>
              <w:t xml:space="preserve">20 минут, включая движение и рефлексию</w:t>
            </w:r>
          </w:p>
        </w:tc>
      </w:tr>
      <w:tr>
        <w:tc>
          <w:tcPr/>
          <w:p>
            <w:pPr>
              <w:pStyle w:val="TableText"/>
            </w:pPr>
            <w:r>
              <w:rPr>
                <w:b/>
              </w:rPr>
              <w:t xml:space="preserve">Дата</w:t>
            </w:r>
          </w:p>
        </w:tc>
        <w:tc>
          <w:tcPr/>
          <w:p>
            <w:pPr>
              <w:pStyle w:val="TableText"/>
            </w:pPr>
            <w:r>
              <w:t xml:space="preserve">03.10.2026</w:t>
            </w:r>
          </w:p>
        </w:tc>
      </w:tr>
      <w:tr>
        <w:tc>
          <w:tcPr/>
          <w:p>
            <w:pPr>
              <w:pStyle w:val="TableText"/>
            </w:pPr>
            <w:r>
              <w:rPr>
                <w:b/>
              </w:rPr>
              <w:t xml:space="preserve">Учебный год</w:t>
            </w:r>
          </w:p>
        </w:tc>
        <w:tc>
          <w:tcPr/>
          <w:p>
            <w:pPr>
              <w:pStyle w:val="TableText"/>
            </w:pPr>
            <w:r>
              <w:t xml:space="preserve">2026–2027</w:t>
            </w:r>
          </w:p>
        </w:tc>
      </w:tr>
      <w:tr>
        <w:tc>
          <w:tcPr/>
          <w:p>
            <w:pPr>
              <w:pStyle w:val="TableText"/>
            </w:pPr>
            <w:r>
              <w:rPr>
                <w:b/>
              </w:rPr>
              <w:t xml:space="preserve">Тема</w:t>
            </w:r>
          </w:p>
        </w:tc>
        <w:tc>
          <w:tcPr/>
          <w:p>
            <w:pPr>
              <w:pStyle w:val="TableText"/>
            </w:pPr>
            <w:r>
              <w:t xml:space="preserve">Осенние листья</w:t>
            </w:r>
          </w:p>
        </w:tc>
      </w:tr>
    </w:tbl>
    <w:p/>
    <w:p>
      <w:pPr>
        <w:pStyle w:val="Heading1"/>
        <w:jc w:val="left"/>
        <w:ind w:firstLine="0"/>
      </w:pPr>
      <w:r>
        <w:t xml:space="preserve">Цель</w:t>
      </w:r>
    </w:p>
    <w:p>
      <w:pPr>
        <w:pStyle w:val="Normal"/>
        <w:jc w:val="both"/>
      </w:pPr>
      <w:r>
        <w:t xml:space="preserve">Расширять представления детей об осенних изменениях в природе через рассматривание, сравнение и группировку листьев, движение и совместное создание осеннего узора.</w:t>
      </w:r>
    </w:p>
    <w:p>
      <w:pPr>
        <w:pStyle w:val="Heading1"/>
        <w:jc w:val="left"/>
        <w:ind w:firstLine="0"/>
      </w:pPr>
      <w:r>
        <w:t xml:space="preserve">Задачи</w:t>
      </w:r>
    </w:p>
    <w:p>
      <w:pPr>
        <w:pStyle w:val="ListItem"/>
      </w:pPr>
      <w:r>
        <w:t xml:space="preserve">• Обучающие: помогать замечать осенние изменения — листья на многих деревьях меняют цвет и опадают; учить сравнивать два листа по цвету и величине, объединять листья по одному признаку — цвету.</w:t>
      </w:r>
    </w:p>
    <w:p>
      <w:pPr>
        <w:pStyle w:val="ListItem"/>
      </w:pPr>
      <w:r>
        <w:t xml:space="preserve">• Развивающие: развивать наблюдательность, внимание и умение действовать по простому правилу; обогащать речь словами «лист», «листья», «жёлтый», «красный», «зелёный», «большой», «маленький», «листопад»; поддерживать ответы словом, короткой фразой, жестом или выбором картинки.</w:t>
      </w:r>
    </w:p>
    <w:p>
      <w:pPr>
        <w:pStyle w:val="ListItem"/>
      </w:pPr>
      <w:r>
        <w:t xml:space="preserve">• Воспитательные: поддерживать интерес к природе и бережное отношение к растениям; учить договариваться при работе с общими материалами, замечать вклад каждого ребёнка.</w:t>
      </w:r>
    </w:p>
    <w:p>
      <w:pPr>
        <w:pStyle w:val="ListItem"/>
      </w:pPr>
      <w:r>
        <w:t xml:space="preserve">• Задачи интеграции: согласовывать движения с сигналом педагога; замечать красоту сочетаний осенних цветов и участвовать в создании общего узора.</w:t>
      </w:r>
    </w:p>
    <w:p>
      <w:pPr>
        <w:pStyle w:val="Heading1"/>
        <w:jc w:val="left"/>
        <w:ind w:firstLine="0"/>
      </w:pPr>
      <w:r>
        <w:t xml:space="preserve">Материалы и оборудование</w:t>
      </w:r>
    </w:p>
    <w:p>
      <w:pPr>
        <w:pStyle w:val="ListItem"/>
      </w:pPr>
      <w:r>
        <w:t xml:space="preserve">• Корзинка с заранее осмотренными чистыми опавшими листьями без плесени, острых веточек и повреждений; крупные бумажные листья для замены природного материала.</w:t>
      </w:r>
    </w:p>
    <w:p>
      <w:pPr>
        <w:pStyle w:val="ListItem"/>
      </w:pPr>
      <w:r>
        <w:t xml:space="preserve">• Пары листьев для сравнения: два листа одинакового цвета и похожей формы, но разной величины; два листа похожей величины, но разного цвета.</w:t>
      </w:r>
    </w:p>
    <w:p>
      <w:pPr>
        <w:pStyle w:val="ListItem"/>
      </w:pPr>
      <w:r>
        <w:t xml:space="preserve">• Крупные бумажные листья жёлтого, красного и зелёного цвета — по одному на ребёнка, несколько запасных.</w:t>
      </w:r>
    </w:p>
    <w:p>
      <w:pPr>
        <w:pStyle w:val="ListItem"/>
      </w:pPr>
      <w:r>
        <w:t xml:space="preserve">• Три подноса с крупными цветовыми образцами: жёлтым, красным и зелёным.</w:t>
      </w:r>
    </w:p>
    <w:p>
      <w:pPr>
        <w:pStyle w:val="ListItem"/>
      </w:pPr>
      <w:r>
        <w:t xml:space="preserve">• Картинка дерева с осенней листвой и листьями на земле.</w:t>
      </w:r>
    </w:p>
    <w:p>
      <w:pPr>
        <w:pStyle w:val="ListItem"/>
      </w:pPr>
      <w:r>
        <w:t xml:space="preserve">• Большой лист бумаги или ткань для общего осеннего узора; основа лежит на доступном детям столе.</w:t>
      </w:r>
    </w:p>
    <w:p>
      <w:pPr>
        <w:pStyle w:val="ListItem"/>
      </w:pPr>
      <w:r>
        <w:t xml:space="preserve">• Карточки для ответов: цветовые образцы, большой и маленький лист, лист в воздухе и лист на земле.</w:t>
      </w:r>
    </w:p>
    <w:p>
      <w:pPr>
        <w:pStyle w:val="ListItem"/>
      </w:pPr>
      <w:r>
        <w:t xml:space="preserve">• Салфетки; возможность вымыть руки после работы с природными материалами.</w:t>
      </w:r>
    </w:p>
    <w:p>
      <w:pPr>
        <w:pStyle w:val="Note"/>
      </w:pPr>
      <w:r>
        <w:rPr>
          <w:b/>
        </w:rPr>
        <w:t xml:space="preserve">Подготовьте свободное место для движения. Природные листья дети рассматривают на столе; для движения используют бумажные. Листья не подносят ко рту и лицу, не пробуют и не растирают. Ребёнку, которому неприятно касаться природного материала, предложите бумажный лист или наблюдение. В совместном узоре листья только раскладывают — ножницы и клей не нужны.</w:t>
      </w:r>
    </w:p>
    <w:p>
      <w:pPr>
        <w:pStyle w:val="Heading1"/>
        <w:jc w:val="left"/>
        <w:ind w:firstLine="0"/>
      </w:pPr>
      <w:r>
        <w:t xml:space="preserve">Предварительная работа</w:t>
      </w:r>
    </w:p>
    <w:p>
      <w:pPr>
        <w:pStyle w:val="ListItem"/>
      </w:pPr>
      <w:r>
        <w:t xml:space="preserve">• На прогулке понаблюдать за деревьями и листьями на земле: какие цвета дети замечают, как листья падают при ветре.</w:t>
      </w:r>
    </w:p>
    <w:p>
      <w:pPr>
        <w:pStyle w:val="ListItem"/>
      </w:pPr>
      <w:r>
        <w:t xml:space="preserve">• Рассмотреть несколько опавших листьев. Напомнить: для наблюдения берём листья с земли, не обрываем их с дерева.</w:t>
      </w:r>
    </w:p>
    <w:p>
      <w:pPr>
        <w:pStyle w:val="ListItem"/>
      </w:pPr>
      <w:r>
        <w:t xml:space="preserve">• В повседневных играх потренировать выбор одинакового цвета и сравнение двух предметов по величине.</w:t>
      </w:r>
    </w:p>
    <w:p>
      <w:pPr>
        <w:pStyle w:val="ListItem"/>
      </w:pPr>
      <w:r>
        <w:t xml:space="preserve">• До занятия расположить подносы и основу для узора так, чтобы дети могли подходить без очереди в узком проходе.</w:t>
      </w:r>
    </w:p>
    <w:p>
      <w:pPr>
        <w:pStyle w:val="Note"/>
      </w:pPr>
      <w:r>
        <w:rPr>
          <w:b/>
        </w:rPr>
        <w:t xml:space="preserve">Если наблюдение на прогулке не состоялось, используйте картинку и реальные листья. Не ожидайте от детей знания названий деревьев: на этом занятии важны признаки листьев и доступные наблюдения.</w:t>
      </w:r>
    </w:p>
    <w:p>
      <w:pPr>
        <w:pStyle w:val="Heading1"/>
        <w:jc w:val="left"/>
        <w:ind w:firstLine="0"/>
      </w:pPr>
      <w:r>
        <w:t xml:space="preserve">Ход занятия</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0" w:type="dxa"/>
          <w:right w:w="100" w:type="dxa"/>
        </w:tblCellMar>
      </w:tblPr>
      <w:tblGrid>
        <w:gridCol/>
        <w:gridCol/>
        <w:gridCol/>
      </w:tblGrid>
      <w:tr>
        <w:trPr>
          <w:tblHeader/>
        </w:trPr>
        <w:tc>
          <w:tcPr/>
          <w:p>
            <w:pPr>
              <w:pStyle w:val="TableText"/>
            </w:pPr>
            <w:r>
              <w:rPr>
                <w:b/>
              </w:rPr>
              <w:t xml:space="preserve">Часть</w:t>
            </w:r>
          </w:p>
        </w:tc>
        <w:tc>
          <w:tcPr/>
          <w:p>
            <w:pPr>
              <w:pStyle w:val="TableText"/>
            </w:pPr>
            <w:r>
              <w:rPr>
                <w:b/>
              </w:rPr>
              <w:t xml:space="preserve">Содержание</w:t>
            </w:r>
          </w:p>
        </w:tc>
        <w:tc>
          <w:tcPr/>
          <w:p>
            <w:pPr>
              <w:pStyle w:val="TableText"/>
            </w:pPr>
            <w:r>
              <w:rPr>
                <w:b/>
              </w:rPr>
              <w:t xml:space="preserve">Время</w:t>
            </w:r>
          </w:p>
        </w:tc>
      </w:tr>
      <w:tr>
        <w:tc>
          <w:tcPr/>
          <w:p>
            <w:pPr>
              <w:pStyle w:val="TableText"/>
            </w:pPr>
            <w:r>
              <w:t xml:space="preserve">Вводная</w:t>
            </w:r>
          </w:p>
        </w:tc>
        <w:tc>
          <w:tcPr/>
          <w:p>
            <w:pPr>
              <w:pStyle w:val="TableText"/>
            </w:pPr>
            <w:r>
              <w:t xml:space="preserve">Корзинка с листьями, приглашение к исследованию</w:t>
            </w:r>
          </w:p>
        </w:tc>
        <w:tc>
          <w:tcPr/>
          <w:p>
            <w:pPr>
              <w:pStyle w:val="TableText"/>
            </w:pPr>
            <w:r>
              <w:t xml:space="preserve">2 минуты</w:t>
            </w:r>
          </w:p>
        </w:tc>
      </w:tr>
      <w:tr>
        <w:tc>
          <w:tcPr/>
          <w:p>
            <w:pPr>
              <w:pStyle w:val="TableText"/>
            </w:pPr>
            <w:r>
              <w:t xml:space="preserve">Основная</w:t>
            </w:r>
          </w:p>
        </w:tc>
        <w:tc>
          <w:tcPr/>
          <w:p>
            <w:pPr>
              <w:pStyle w:val="TableText"/>
            </w:pPr>
            <w:r>
              <w:t xml:space="preserve">Рассматривание и сравнение листьев</w:t>
            </w:r>
          </w:p>
        </w:tc>
        <w:tc>
          <w:tcPr/>
          <w:p>
            <w:pPr>
              <w:pStyle w:val="TableText"/>
            </w:pPr>
            <w:r>
              <w:t xml:space="preserve">4 минуты</w:t>
            </w:r>
          </w:p>
        </w:tc>
      </w:tr>
      <w:tr>
        <w:tc>
          <w:tcPr/>
          <w:p>
            <w:pPr>
              <w:pStyle w:val="TableText"/>
            </w:pPr>
            <w:r>
              <w:t xml:space="preserve">Основная</w:t>
            </w:r>
          </w:p>
        </w:tc>
        <w:tc>
          <w:tcPr/>
          <w:p>
            <w:pPr>
              <w:pStyle w:val="TableText"/>
            </w:pPr>
            <w:r>
              <w:t xml:space="preserve">Группировка по цвету</w:t>
            </w:r>
          </w:p>
        </w:tc>
        <w:tc>
          <w:tcPr/>
          <w:p>
            <w:pPr>
              <w:pStyle w:val="TableText"/>
            </w:pPr>
            <w:r>
              <w:t xml:space="preserve">4 минуты</w:t>
            </w:r>
          </w:p>
        </w:tc>
      </w:tr>
      <w:tr>
        <w:tc>
          <w:tcPr/>
          <w:p>
            <w:pPr>
              <w:pStyle w:val="TableText"/>
            </w:pPr>
            <w:r>
              <w:t xml:space="preserve">Основная</w:t>
            </w:r>
          </w:p>
        </w:tc>
        <w:tc>
          <w:tcPr/>
          <w:p>
            <w:pPr>
              <w:pStyle w:val="TableText"/>
            </w:pPr>
            <w:r>
              <w:t xml:space="preserve">Двигательная игра «Листья и ветер»</w:t>
            </w:r>
          </w:p>
        </w:tc>
        <w:tc>
          <w:tcPr/>
          <w:p>
            <w:pPr>
              <w:pStyle w:val="TableText"/>
            </w:pPr>
            <w:r>
              <w:t xml:space="preserve">3 минуты</w:t>
            </w:r>
          </w:p>
        </w:tc>
      </w:tr>
      <w:tr>
        <w:tc>
          <w:tcPr/>
          <w:p>
            <w:pPr>
              <w:pStyle w:val="TableText"/>
            </w:pPr>
            <w:r>
              <w:t xml:space="preserve">Основная</w:t>
            </w:r>
          </w:p>
        </w:tc>
        <w:tc>
          <w:tcPr/>
          <w:p>
            <w:pPr>
              <w:pStyle w:val="TableText"/>
            </w:pPr>
            <w:r>
              <w:t xml:space="preserve">Общий осенний узор</w:t>
            </w:r>
          </w:p>
        </w:tc>
        <w:tc>
          <w:tcPr/>
          <w:p>
            <w:pPr>
              <w:pStyle w:val="TableText"/>
            </w:pPr>
            <w:r>
              <w:t xml:space="preserve">4 минуты</w:t>
            </w:r>
          </w:p>
        </w:tc>
      </w:tr>
      <w:tr>
        <w:tc>
          <w:tcPr/>
          <w:p>
            <w:pPr>
              <w:pStyle w:val="TableText"/>
            </w:pPr>
            <w:r>
              <w:t xml:space="preserve">Заключительная</w:t>
            </w:r>
          </w:p>
        </w:tc>
        <w:tc>
          <w:tcPr/>
          <w:p>
            <w:pPr>
              <w:pStyle w:val="TableText"/>
            </w:pPr>
            <w:r>
              <w:t xml:space="preserve">Обобщение наблюдений</w:t>
            </w:r>
          </w:p>
        </w:tc>
        <w:tc>
          <w:tcPr/>
          <w:p>
            <w:pPr>
              <w:pStyle w:val="TableText"/>
            </w:pPr>
            <w:r>
              <w:t xml:space="preserve">1 минута</w:t>
            </w:r>
          </w:p>
        </w:tc>
      </w:tr>
      <w:tr>
        <w:tc>
          <w:tcPr/>
          <w:p>
            <w:pPr>
              <w:pStyle w:val="TableText"/>
            </w:pPr>
            <w:r>
              <w:t xml:space="preserve">Рефлексия</w:t>
            </w:r>
          </w:p>
        </w:tc>
        <w:tc>
          <w:tcPr/>
          <w:p>
            <w:pPr>
              <w:pStyle w:val="TableText"/>
            </w:pPr>
            <w:r>
              <w:t xml:space="preserve">Выбор впечатления и завершение</w:t>
            </w:r>
          </w:p>
        </w:tc>
        <w:tc>
          <w:tcPr/>
          <w:p>
            <w:pPr>
              <w:pStyle w:val="TableText"/>
            </w:pPr>
            <w:r>
              <w:t xml:space="preserve">2 минуты</w:t>
            </w:r>
          </w:p>
        </w:tc>
      </w:tr>
    </w:tbl>
    <w:p/>
    <w:p>
      <w:pPr>
        <w:pStyle w:val="Normal"/>
        <w:jc w:val="both"/>
      </w:pPr>
      <w:r>
        <w:t xml:space="preserve">Вводная часть. 0–2-я минуты. Дети располагаются полукругом возле стола. Воспитатель показывает корзинку: «Ребята, посмотрите, что я принесла. Как вы думаете, что в корзинке?» Ожидаемые ответы: «Листья», «Листочки». Педагог открывает корзинку: «Да, это листья. Они лежали под деревом. Давайте рассмотрим их и узнаем, чем они похожи и чем отличаются». Показывает картинку: «Что вы видите на дереве? А что лежит под ним?» Дети: «Листья», «На земле листья». Педагог: «Осенью на многих деревьях листья меняют цвет и падают на землю. Сегодня мы будем исследователями осенних листьев».</w:t>
      </w:r>
    </w:p>
    <w:p>
      <w:pPr>
        <w:pStyle w:val="Note"/>
      </w:pPr>
      <w:r>
        <w:rPr>
          <w:b/>
        </w:rPr>
        <w:t xml:space="preserve">Детям, которые пока говорят мало, предложите показать лист в корзинке или на картинке. Примите жест как ответ: «Ты показал листья под деревом». Не просите повторять слово перед всей группой.</w:t>
      </w:r>
    </w:p>
    <w:p>
      <w:pPr>
        <w:pStyle w:val="Normal"/>
        <w:jc w:val="both"/>
      </w:pPr>
      <w:r>
        <w:t xml:space="preserve">Основная часть. Рассматривание и сравнение. 2–6-я минуты. Педагог раскладывает листья на столе: «Рассмотрим их глазами. Если хочется, можно осторожно потрогать лист пальчиком. Какого цвета этот лист?» Показывает листья по одному. Ожидаемые ответы: «Жёлтый», «Красный», «Зелёный». При затруднении предлагает два цветовых образца: «Он такого цвета или такого?» Затем кладёт рядом два листа одинакового цвета и похожей формы, но разной величины: «Посмотрите на эти два листа. Покажите большой. А теперь маленький». Дети показывают, называют: «Этот большой», «Этот маленький». Педагог: «Они одинакового цвета, но один больше другого». Затем показывает два листа похожей величины, но разного цвета: «А у этих листьев цвет одинаковый или разный?» Ожидаемые ответы: «Разный», «Этот жёлтый, этот красный». Педагог предлагает одному-двум детям выбрать лист и рассказать о нём: «Можно сказать: “У меня жёлтый лист” или “У меня маленький лист”».</w:t>
      </w:r>
    </w:p>
    <w:p>
      <w:pPr>
        <w:pStyle w:val="Note"/>
      </w:pPr>
      <w:r>
        <w:rPr>
          <w:b/>
        </w:rPr>
        <w:t xml:space="preserve">Сравнивайте величину только у двух лежащих рядом листьев. Для ребёнка с небольшим речевым опытом достаточно выбрать нужный лист, показать цветовую карточку или произнести одно слово. Расширьте ответ без требования повторить: «Жёлтый. Ты выбрал жёлтый лист».</w:t>
      </w:r>
    </w:p>
    <w:p>
      <w:pPr>
        <w:pStyle w:val="Normal"/>
        <w:jc w:val="both"/>
      </w:pPr>
      <w:r>
        <w:t xml:space="preserve">Основная часть. Игра «Найди листу место». 6–10-я минуты. Воспитатель показывает три подноса: «Здесь жёлтый цвет, здесь красный, а здесь зелёный. Разложим бумажные листья по цвету». Демонстрирует один пример: «У меня красный лист. Я положу его рядом с красным образцом». Дети выбирают по одному листу и небольшими подгруппами подходят к подносам. Педагог спрашивает: «Какого цвета твой лист? Где для него место?» Ожидаемые ответы: «Жёлтый — сюда», «К красному», либо ребёнок молча кладёт лист на соответствующий поднос. После раскладывания педагог предлагает проверить: «Посмотрите, на этом подносе все листья жёлтые? Есть ли лист другого цвета?» Если ребёнок положил лист на другой поднос, педагог спокойно предлагает: «Приложим его рядом с образцом. Цвет совпадает? Посмотри, где есть такой же». В завершение: «Мы собрали листья по цвету. В одной группе могут быть и большие, и маленькие листья».</w:t>
      </w:r>
    </w:p>
    <w:p>
      <w:pPr>
        <w:pStyle w:val="Note"/>
      </w:pPr>
      <w:r>
        <w:rPr>
          <w:b/>
        </w:rPr>
        <w:t xml:space="preserve">Чтобы сохранить темп и избежать очереди, приглашайте к подносам несколько детей одновременно, если позволяет пространство. Ребёнок может указать нужный поднос, а педагог или товарищ перенесёт лист. Дополнительные круги игры не нужны.</w:t>
      </w:r>
    </w:p>
    <w:p>
      <w:pPr>
        <w:pStyle w:val="Normal"/>
        <w:jc w:val="both"/>
      </w:pPr>
      <w:r>
        <w:t xml:space="preserve">Основная часть. Двигательная игра «Листья и ветер». 10–13-я минуты. Каждый желающий берёт бумажный лист и встаёт на свободное место. Педагог: «Проверим, хватает ли места: руки никого не касаются. Сейчас наши листочки будут двигаться вместе с нами. Идём спокойно, смотрим вперёд». Команды и действия: «Тихий ветер» — дети стоя плавно качают листом вправо и влево; «Ветер подул» — медленно идут по свободному пространству, держат лист перед собой; «Ветер стих» — останавливаются; «Лист опускается на землю» — слегка приседают или наклоняют руку с листом вниз. Педагог повторяет последовательность два раза, меняя длительность пауз. Затем спрашивает: «Что делали наши листочки?» Ожидаемые ответы: «Качались», «Летели», «Падали». Педагог: «Когда листья падают с деревьев, это называют листопадом».</w:t>
      </w:r>
    </w:p>
    <w:p>
      <w:pPr>
        <w:pStyle w:val="Note"/>
      </w:pPr>
      <w:r>
        <w:rPr>
          <w:b/>
        </w:rPr>
        <w:t xml:space="preserve">Бег и быстрое кружение не используйте. Дети не бросают листья на пол. Ребёнок может участвовать сидя: качать листом и опускать руку на колени. На вопросы можно ответить движением или указанием на карточку с падающим листом.</w:t>
      </w:r>
    </w:p>
    <w:p>
      <w:pPr>
        <w:pStyle w:val="Normal"/>
        <w:jc w:val="both"/>
      </w:pPr>
      <w:r>
        <w:t xml:space="preserve">Основная часть. Совместный осенний узор. 13–17-я минуты. Дети подходят к столу с большой основой. Воспитатель: «Соберём красивый осенний узор. Можно положить лист рядом с другим, сделать дорожку или небольшой круг. Какого цвета лист ты хочешь добавить?» Ожидаемые ответы: «Красный», «Жёлтый», либо выбор листа рукой. Педагог помогает детям действовать по очереди в небольших подгруппах: «Посмотри, где есть свободное место. Куда положим твой лист?» Ребёнок выбирает место. Если двое хотят положить листья в одну точку, педагог предлагает: «Можно расположить их рядом. Покажите, как вам удобно». После размещения листьев педагог приглашает посмотреть на общий результат: «Какие цвета встретились в нашем узоре? Покажите дорожку или круг, если они получились». Дети называют цвета, показывают части узора. Педагог: «Каждый добавил свой лист, и получился общий осенний узор».</w:t>
      </w:r>
    </w:p>
    <w:p>
      <w:pPr>
        <w:pStyle w:val="Note"/>
      </w:pPr>
      <w:r>
        <w:rPr>
          <w:b/>
        </w:rPr>
        <w:t xml:space="preserve">Не задавайте обязательный образец и не оценивайте работы словами «правильно» или «красивее всех». Ребёнок может выбрать цвет, указать место, подать лист товарищу или наблюдать. Если он не хочет размещать лист, предложите помочь выбрать место для листа педагога.</w:t>
      </w:r>
    </w:p>
    <w:p>
      <w:pPr>
        <w:pStyle w:val="Normal"/>
        <w:jc w:val="both"/>
      </w:pPr>
      <w:r>
        <w:t xml:space="preserve">Заключительная часть. 17–18-я минуты. Педагог возвращает внимание к картинке дерева: «Сегодня мы рассматривали осенние листья. Какие цвета мы нашли?» Ожидаемые ответы: «Жёлтый», «Красный», «Зелёный». «Что бывает с листьями на многих деревьях осенью?» Дети: «Падают», «Меняют цвет» или показывают движение падения. Педагог обобщает: «Осенью листья на многих деревьях меняют цвет и опадают. Листья можно сравнивать по цвету и величине. На прогулке понаблюдаем, какие листья лежат под нашими деревьями».</w:t>
      </w:r>
    </w:p>
    <w:p>
      <w:pPr>
        <w:pStyle w:val="Heading1"/>
        <w:jc w:val="left"/>
        <w:ind w:firstLine="0"/>
      </w:pPr>
      <w:r>
        <w:t xml:space="preserve">Рефлексия</w:t>
      </w:r>
    </w:p>
    <w:p>
      <w:pPr>
        <w:pStyle w:val="Normal"/>
        <w:jc w:val="both"/>
      </w:pPr>
      <w:r>
        <w:t xml:space="preserve">18–20-я минуты. Воспитатель: «Вспомните, что вам хотелось делать сегодня: рассматривать листья, находить им место по цвету, двигаться с листочком или собирать узор. Можно рассказать, показать на материалы или повторить движение». Ожидаемые ответы: «Мне понравилось летать», «Я раскладывал листья», «Делать узор», указание на подносы или общий узор. Педагог принимает разные впечатления: «Тебе понравилось двигаться с листочком», «Ты выбрал наш общий узор». Затем предлагает: «Кто хочет, покажите лист, цвет которого вы теперь можете назвать или найти». Дети называют цвет или сопоставляют лист с образцом. Педагог завершает: «Спасибо за ваши наблюдения и помощь друг другу. Оставим узор, чтобы ещё раз его рассмотреть».</w:t>
      </w:r>
    </w:p>
    <w:p>
      <w:pPr>
        <w:pStyle w:val="Note"/>
      </w:pPr>
      <w:r>
        <w:rPr>
          <w:b/>
        </w:rPr>
        <w:t xml:space="preserve">Не опрашивайте по очереди каждого ребёнка: за две минуты достаточно нескольких добровольных ответов и общего выбора жестом. Отмечайте, может ли ребёнок сопоставить цвета, сравнить два листа по величине и включиться в общее действие. Молчание не означает, что ребёнок не понял задание. После занятия организуйте мытьё рук у тех, кто работал с природными листьями.</w:t>
      </w:r>
    </w:p>
    <w:p>
      <w:pPr>
        <w:pStyle w:val="Heading1"/>
        <w:jc w:val="left"/>
        <w:ind w:firstLine="0"/>
      </w:pPr>
      <w:r>
        <w:t xml:space="preserve">Нормативная основа</w:t>
      </w:r>
    </w:p>
    <w:p>
      <w:pPr>
        <w:pStyle w:val="ListItem"/>
      </w:pPr>
      <w:r>
        <w:t xml:space="preserve">1. Федеральный государственный образовательный стандарт дошкольного образования (приказ Минобрнауки России от 17.10.2013 № 1155).</w:t>
      </w:r>
    </w:p>
    <w:p>
      <w:pPr>
        <w:pStyle w:val="ListItem"/>
      </w:pPr>
      <w:r>
        <w:t xml:space="preserve">2. Федеральная образовательная программа дошкольного образования (приказ Минпросвещения России от 25.11.2022 № 1028).</w:t>
      </w:r>
    </w:p>
    <w:sectPr>
      <w:pgSz w:w="11906" w:h="16838"/>
      <w:pgMar w:top="1134" w:right="850" w:bottom="1134" w:left="1701"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8"/>
        <w:szCs w:val="28"/>
        <w:color w:val="000000"/>
        <w:lang w:val="ru-RU"/>
      </w:rPr>
    </w:rPrDefault>
    <w:pPrDefault>
      <w:pPr>
        <w:spacing w:after="0" w:line="360" w:lineRule="auto"/>
      </w:pPr>
    </w:pPrDefault>
  </w:docDefaults>
  <w:style w:type="paragraph" w:default="1" w:styleId="Normal">
    <w:name w:val="Normal"/>
    <w:pPr>
      <w:widowControl/>
      <w:ind w:firstLine="709"/>
    </w:pPr>
  </w:style>
  <w:style w:type="paragraph" w:styleId="Title">
    <w:name w:val="Title"/>
    <w:basedOn w:val="Normal"/>
    <w:pPr>
      <w:spacing w:before="240" w:after="120"/>
    </w:pPr>
    <w:rPr>
      <w:b/>
      <w:sz w:val="28"/>
      <w:szCs w:val="28"/>
    </w:rPr>
  </w:style>
  <w:style w:type="paragraph" w:styleId="Subtitle">
    <w:name w:val="Subtitle"/>
    <w:basedOn w:val="Normal"/>
    <w:rPr>
      <w:sz w:val="28"/>
      <w:szCs w:val="28"/>
    </w:rPr>
  </w:style>
  <w:style w:type="paragraph" w:styleId="Caps">
    <w:name w:val="Caps"/>
    <w:basedOn w:val="Normal"/>
    <w:rPr>
      <w:caps/>
      <w:sz w:val="28"/>
      <w:szCs w:val="28"/>
    </w:rPr>
  </w:style>
  <w:style w:type="paragraph" w:styleId="Heading1">
    <w:name w:val="heading 1"/>
    <w:basedOn w:val="Normal"/>
    <w:next w:val="Normal"/>
    <w:pPr>
      <w:keepNext/>
      <w:spacing w:before="280" w:after="120"/>
      <w:outlineLvl w:val="0"/>
    </w:pPr>
    <w:rPr>
      <w:b/>
      <w:sz w:val="28"/>
      <w:szCs w:val="28"/>
    </w:rPr>
  </w:style>
  <w:style w:type="paragraph" w:styleId="ListItem">
    <w:name w:val="List Item"/>
    <w:basedOn w:val="Normal"/>
    <w:pPr>
      <w:spacing w:after="0"/>
      <w:ind w:left="567" w:hanging="283"/>
    </w:pPr>
  </w:style>
  <w:style w:type="paragraph" w:styleId="Field">
    <w:name w:val="Field"/>
    <w:basedOn w:val="Normal"/>
    <w:pPr>
      <w:ind w:firstLine="0"/>
      <w:spacing w:after="200"/>
    </w:pPr>
  </w:style>
  <w:style w:type="paragraph" w:styleId="Note">
    <w:name w:val="Note"/>
    <w:basedOn w:val="Normal"/>
    <w:pPr>
      <w:ind w:firstLine="0"/>
    </w:pPr>
  </w:style>
  <w:style w:type="paragraph" w:styleId="TableText">
    <w:name w:val="Table Text"/>
    <w:basedOn w:val="Normal"/>
    <w:pPr>
      <w:ind w:firstLine="0"/>
      <w:spacing w:after="0" w:line="360" w:lineRule="auto"/>
    </w:pPr>
    <w:rPr>
      <w:sz w:val="28"/>
      <w:szCs w:val="28"/>
    </w:rPr>
  </w:style>
  <w:style w:type="paragraph" w:styleId="Footer">
    <w:name w:val="Footer Note"/>
    <w:basedOn w:val="Normal"/>
    <w:rPr>
      <w:sz w:val="28"/>
      <w:szCs w:val="28"/>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